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Times New Roman" w:hAnsi="Times New Roman" w:eastAsia="方正黑体_GBK"/>
          <w:bCs/>
          <w:color w:val="000000"/>
          <w:sz w:val="32"/>
          <w:szCs w:val="32"/>
        </w:rPr>
      </w:pPr>
      <w:r>
        <w:rPr>
          <w:rFonts w:ascii="Times New Roman" w:hAnsi="Times New Roman" w:eastAsia="方正黑体_GBK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1</w:t>
      </w:r>
    </w:p>
    <w:p>
      <w:pPr>
        <w:spacing w:line="56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2023</w:t>
      </w: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  <w:t>年绵阳市</w:t>
      </w: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聘任制公务员招聘职位表</w:t>
      </w:r>
    </w:p>
    <w:tbl>
      <w:tblPr>
        <w:tblStyle w:val="4"/>
        <w:tblW w:w="15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707"/>
        <w:gridCol w:w="568"/>
        <w:gridCol w:w="3701"/>
        <w:gridCol w:w="1154"/>
        <w:gridCol w:w="1473"/>
        <w:gridCol w:w="3579"/>
        <w:gridCol w:w="526"/>
        <w:gridCol w:w="8"/>
        <w:gridCol w:w="1053"/>
        <w:gridCol w:w="8"/>
        <w:gridCol w:w="1472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Header/>
          <w:jc w:val="center"/>
        </w:trPr>
        <w:tc>
          <w:tcPr>
            <w:tcW w:w="36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序号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聘任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单位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名称</w:t>
            </w:r>
          </w:p>
        </w:tc>
        <w:tc>
          <w:tcPr>
            <w:tcW w:w="370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职位职责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学历学位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条件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专业要求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其他资格条件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聘任名额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聘任期限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薪酬待遇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咨询电话及邮箱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绵阳市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发展和改革委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经济发展战略分析师</w:t>
            </w:r>
          </w:p>
        </w:tc>
        <w:tc>
          <w:tcPr>
            <w:tcW w:w="370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①负责全市宏观经济形势监测分析、预测预警；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②负责提出宏观调控目标以及运用各种经济手段的政策建议，提出全市建设现代化经济体系和推动高质量发展的政策建议；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③组织拟订并推动实施全市发展战略规划；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④组织开展重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大政策预研和预评估，提出经济安全相关政策建议；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⑤完成领导交办的其他工作。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硕士研究生及以上学历并取得硕士及以上学位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应用经济学类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①40周岁以下（博士研究生可放宽到45周岁以下）；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②具有3年以上经济发展研究、项目规划工作经历，并作为核心成员完成过至少一项市级以上经济形势分析和研究任务；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③熟悉经济工作相关法律法规、管理规范及流程；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④具有较强的综合管理、调查研究、组织协调、团队合作能力。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3年（含试用期3个月）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年平均薪酬最高30万元，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最终薪酬标准由招聘单位与拟聘人员协商确定。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联系人及方式：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魏老师，0816-2213373，376640855@qq.com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7" w:hRule="atLeast"/>
          <w:jc w:val="center"/>
        </w:trPr>
        <w:tc>
          <w:tcPr>
            <w:tcW w:w="3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绵阳市交通运输局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安全工程师</w:t>
            </w:r>
          </w:p>
        </w:tc>
        <w:tc>
          <w:tcPr>
            <w:tcW w:w="370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①负责全市公路、水路领域安全评估、论证、检测、检验、监督考核等工作；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②依法组织或参与有关事故调查处理和综合分析工作；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③组织特殊时期的安全大检查和重大安全生产活动，解决安全工作中存在的问题；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④组织指导交通运输行业应急处置体系建设；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⑤完成领导交办的其他工作。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大学本科及以上学历并取得学士及以上学位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本科：土木类、交通运输类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研究生：土木工程、交通运输工程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①40周岁以下；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②取得安全工程高级工程师职称，具有3年以上交通运输领域安全管理从业经历；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③熟悉安全工作相关法律法规和管理规范；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④具有较强的综合管理、调查研究、组织协调、团队合作能力。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3年（含试用期3个月）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年平均薪酬最高30万元，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最终薪酬标准由招聘单位与拟聘人员协商确定。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联系人及方式：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王老师，13890160640，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746379982@qq.com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9" w:hRule="atLeast"/>
          <w:jc w:val="center"/>
        </w:trPr>
        <w:tc>
          <w:tcPr>
            <w:tcW w:w="3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阳市金融工作局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资本市场发展总监</w:t>
            </w:r>
          </w:p>
        </w:tc>
        <w:tc>
          <w:tcPr>
            <w:tcW w:w="370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①负责资本市场研究；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②负责全市企业上市工作的组织、管理、协调和指导；负责推动全市有关市场主体发行债券、资产证券化等工作；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③负责制定全市基金发展规划，做好科创基金小镇建设发展工作；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④完成领导交办的其他工作。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大学本科及以上学历并取得学士及以上学位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金融学、经济学、法律、会计学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①40周岁以下；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②具有8年以上资本市场融资工作经历；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③具有较强的综合管理、调查研究、组织协调、团队合作能力。</w:t>
            </w:r>
          </w:p>
        </w:tc>
        <w:tc>
          <w:tcPr>
            <w:tcW w:w="534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3年（含试用期3个月）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年平均薪酬最高50万元，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最终薪酬标准由招聘单位与拟聘人员协商确定。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联系人及方式：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羊老师，15883785009，491062556@qq.com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atLeast"/>
          <w:jc w:val="center"/>
        </w:trPr>
        <w:tc>
          <w:tcPr>
            <w:tcW w:w="3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阳经济技术开发区管委会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化工园区高级主管</w:t>
            </w:r>
          </w:p>
        </w:tc>
        <w:tc>
          <w:tcPr>
            <w:tcW w:w="370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①组织实施化工专业园区的发展总体规划及中长期发展规划；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②负责园区宏观管理及协调服务，参与园区对外宣传，以及入园项目的考察、论证和审核工作；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③会同环保部门负责园区内环境保护和监测工作，参与区内建设项目立项的环境保护审查；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④负责园区安全生产一体化管理，协调解决园区内企业安全生产重大问题；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⑤统筹园区内社会治安综合治理工作；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⑥完成领导交办的其他工作。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硕士研究生及以上学历并取得硕士及以上学位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化学工程与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技术类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①40周岁以下；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②取得副高级以上专业技术职称；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③具有5年以上国家级科创平台运营工作经历；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④具有3年以上担任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年营业收入4亿元以上化工企业副总经理或行政事业单位正科级以上领导职务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工作经历。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3年（含试用期3个月）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年平均薪酬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不低于30万元，最终薪酬标准由聘任机关与拟聘人员协商确定。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联系人及方式：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王老师，15008181265， 1030892661@qq.com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9" w:hRule="atLeast"/>
          <w:jc w:val="center"/>
        </w:trPr>
        <w:tc>
          <w:tcPr>
            <w:tcW w:w="3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绵阳市文化广播电视和旅游局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副总规划师</w:t>
            </w:r>
          </w:p>
        </w:tc>
        <w:tc>
          <w:tcPr>
            <w:tcW w:w="370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①负责全市文化和旅游发展规划编制工作的组织、管理和指导；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②协调推进全域旅游发展，指导全域旅游示范区、天府旅游名县建设；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③指导、推动重点区域、旅游景区、旅游线路规划编制；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④组织推动全市文化旅游重大项目和基础设施建设；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⑤完成领导交办的其他工作。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大学本科及以上学历并取得学士及以上学位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本科：旅游管理、文化产业管理、城市规划、城乡规划、景观设计、城市设计；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研究生：旅游管理、城市规划与设计、风景园林规划与设计、城市规划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①35周岁以下（研究生可放宽到40周岁以下）；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②具有3年以上文化旅游领域项目规划工作经历，并作为核心成员完成过至少一项市级以上文旅项目（3A级以上景区）规划设计编制任务；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③熟悉规划工作相关法律法规和管理规范及流程；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④具有较强的综合管理、调查研究、组织协调、团队合作能力。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3年（含试用期3个月）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年平均薪酬最高20万元，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最终薪酬标准由招聘单位与拟聘人员协商确定。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联系人及方式：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庞老师，0816-2243323，1125038216@qq.com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5" w:hRule="atLeast"/>
          <w:jc w:val="center"/>
        </w:trPr>
        <w:tc>
          <w:tcPr>
            <w:tcW w:w="3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绵阳市涪城区财政局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投融资分析师</w:t>
            </w:r>
          </w:p>
        </w:tc>
        <w:tc>
          <w:tcPr>
            <w:tcW w:w="370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①提供投融资领域的咨询研究服务，负责牵头全区金融产业体系管理及融资项目管理工作，承担投融资项目咨询及合作研究、研究成果应用转化、融资预算实施、融资方案设计等；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②负责开拓金融市场，完善全区金融组织体系、金融中介服务体系，与国内外目标融资机构建立多元化的融资渠道；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③承担政府和社会资本合作的政策研究、咨询培训、能力建设、融资支持、信息统计等工作，牵头做好项目管理；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④完成领导交办的其他工作。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硕士研究生及以上学历并取得硕士及以上学位，且本科或研究生阶段就读学校为985、211或“双一流”建设范围高校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理论经济学、应用经济学、金融学、资产评估、数字经济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①40周岁以下；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②取得CFA资格证书；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③满足以下两个条件之一：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1.具有5年以上银行、证券、基金投资等金融工作经历；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2.具有2年以上政府管理部门、国有投资公司或PPP咨询管理单位工作经历，并具有项目融资经历。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3年（含试用期3个月）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年平均薪酬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由底薪和聘期考核奖金组成，底薪为28万元，考核奖金最高15万元。最终薪酬标准由招聘单位与拟聘人员协商确定。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联系人及方式：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尹老师，0816-2227343，514002992@qq.com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1" w:hRule="atLeast"/>
          <w:jc w:val="center"/>
        </w:trPr>
        <w:tc>
          <w:tcPr>
            <w:tcW w:w="3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绵阳市游仙区财政局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金融高级主管</w:t>
            </w:r>
          </w:p>
        </w:tc>
        <w:tc>
          <w:tcPr>
            <w:tcW w:w="370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①提供投融资领域的咨询研究服务，负责金融产业体系管理、投融资项目管理及合规环节工作；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②承担政府和社会资本合作相关的政策研究、能力建设、融资支持、信息统计等工作；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③负责开拓金融市场，支持金融机构在本地集聚发展和投融资合作，推动与国内外目标融资机构建立多元化融资渠道；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④负责制定国有企业投融资计划，配合做好本地所属国有企业投融资项目的包装对接工作，完成国有企业投融资项目前期方案设计、报价、项目执行及后期监管；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⑤牵头研究制定政府性债务风险及金融风险处置等相关措施，协助配合开展政府性债务风险及金融风险防范等相关工作；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⑥完成领导交办的其他工作。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硕士研究生及以上学历并取得硕士及以上学位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经济学、金融学、应用统计、资产评估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①40周岁以下（博士研究生可放宽到45周岁以下）；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②具有5年以上银行、证券、基金投资等金融工作经历，或在金融机构、国企担任过部门经理以上职务；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③熟悉《公司法》和银行、保险、证券及国有资本运营等相关法律法规政策，具有投融资实操、投融资项目包装和管理工作经历；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④具备全球化视野、战略格局高，金融环境建设及国企运营管理理论基础扎实。具有较强的综合分析、沟通表达和运作能力；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⑤取得下列其中一项职称或职业资格证书：经济师、审计师、会计师中级及以上职称，注册会计师、资产评估师、精算师、法律职业资格证书。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3年（含试用期3个月）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薪酬实行年薪制，由底薪与绩效奖金组成，底薪为2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万元，绩效奖金最高15万元。最终薪酬标准由招聘单位与拟聘人员协商确定。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联系人及方式：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江老师，0816-2279152，2270812386@qq.com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2" w:hRule="atLeast"/>
          <w:jc w:val="center"/>
        </w:trPr>
        <w:tc>
          <w:tcPr>
            <w:tcW w:w="3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绵阳市安州区经济合作局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投资促进主管</w:t>
            </w:r>
          </w:p>
        </w:tc>
        <w:tc>
          <w:tcPr>
            <w:tcW w:w="370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①贯彻执行国家、省、市、区经济合作方针政策；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②负责全区投资环境推介工作，推进投资促进和管理服务网络体系建设；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③负责招商投资促进和管理工作；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④完成领导交办的其他工作。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硕士研究生及以上学历并取得硕士及以上学位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应用经济学、理论经济学、工商管理、金融学、国际商务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①40周岁以下（博士研究生可放宽到45周岁以下）；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②具有5年以上招商引资、投资促进、</w:t>
            </w:r>
            <w:r>
              <w:rPr>
                <w:rFonts w:hint="eastAsia" w:eastAsia="仿宋_GB2312" w:cs="仿宋_GB2312"/>
                <w:color w:val="000000"/>
                <w:kern w:val="0"/>
                <w:sz w:val="22"/>
                <w:szCs w:val="22"/>
              </w:rPr>
              <w:t>项目运作、融资管理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等方面工作经历；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③负责或参与县级以上重点招商项目5个以上；以负责人身份成功签约5亿元以上项目不少于2个；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④具有卓越的组织、谈判、协调能力；综合分析和语言、文字表达能力强。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3年（含试用期3个月）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年平均薪酬最高25万元，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最终薪酬标准由聘任机关与拟聘人员协商确定。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联系人及方式：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郭老师，0816-4595663，397977203@qq.com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  <w:jc w:val="center"/>
        </w:trPr>
        <w:tc>
          <w:tcPr>
            <w:tcW w:w="3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三台县农业农村局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农业规划师</w:t>
            </w:r>
          </w:p>
        </w:tc>
        <w:tc>
          <w:tcPr>
            <w:tcW w:w="3701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①负责统筹编制农业产业、农村区域经济的总体规划；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②负责农业产业集群研究，制定农业产业研究规划，并组织实施；</w:t>
            </w:r>
          </w:p>
          <w:p>
            <w:pPr>
              <w:pStyle w:val="2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牵头组织农业项目可行性研究，形成可研报告，指导开展规划编制。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硕士研究生及以上学历并取得硕士及以上学位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城乡规划学、农业管理、农村发展、农业资源与环境、农业经济管理、土地资源管理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①40周岁以下（博士研究生可放宽到45周岁以下）；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②取得副高级以上专业技术职称；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③具有3年以上城乡规划、乡村规划或乡村建设相关工作经历。</w:t>
            </w:r>
          </w:p>
        </w:tc>
        <w:tc>
          <w:tcPr>
            <w:tcW w:w="5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3年（含试用期3个月）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年平均薪酬最高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万元，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最终薪酬标准由聘任机关与拟聘人员协商确定。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联系人及方式：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马老师，0816-5331280，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272400841@qq.com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  <w:jc w:val="center"/>
        </w:trPr>
        <w:tc>
          <w:tcPr>
            <w:tcW w:w="3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三台县统计局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统计分析师</w:t>
            </w:r>
          </w:p>
        </w:tc>
        <w:tc>
          <w:tcPr>
            <w:tcW w:w="370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①制订统计工作规划和地方统计调查计划；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②运用统计学理论，对数据进行收集和分析，撰写研究报告；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③指导统计专业技术队伍建设；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④完成领导交办的其他工作。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硕士研究生及以上学历并取得硕士及以上学位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统计学、应用经济学、数学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应用数学、计算机科学与技术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①40周岁以下；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②取得中级以上统计师或经济师专业技术职称；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③具有1年以上行政事业单位或规模以上工业企业、服务业，资质以上建筑业企业、限额以上商贸企业统计分析工作经历。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3年（含试用期3个月）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年平均薪酬最高25万元，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最终薪酬标准由聘任机关与拟聘人员协商确定。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联系人及方式：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马老师，0816-5331280，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272400841@qq.com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atLeast"/>
          <w:jc w:val="center"/>
        </w:trPr>
        <w:tc>
          <w:tcPr>
            <w:tcW w:w="3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四川盐亭经济开发区管委会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环保安全工程师</w:t>
            </w:r>
          </w:p>
        </w:tc>
        <w:tc>
          <w:tcPr>
            <w:tcW w:w="370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①负责园区环保安全工作，研究提出园区生态环境经营战略；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②负责对重大决策过程中涉及环保指标等事项提供咨询、决策参考；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③完成领导交办的其他工作。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大学本科及以上学历并取得学士及以上学位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本科：环境科学与工程类、安全科学与工程类；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研究生：环境科学与工程、安全科学与工程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①40周岁以下；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②取得中级以上注册安全工程师专业技术职称；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③具有3年以上园区环保安全管理工作经历，或担任过规上环保类企业副总经理以上职务3年以上。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3年（含试用期3个月）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年平均薪酬最高26万元，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最终薪酬标准由聘任机关与拟聘人员协商确定。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联系人及方式：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王老师，0816-7121126，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624316247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8" w:hRule="atLeast"/>
          <w:jc w:val="center"/>
        </w:trPr>
        <w:tc>
          <w:tcPr>
            <w:tcW w:w="3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平武县住房和城乡建设局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城市建设规划师</w:t>
            </w:r>
          </w:p>
        </w:tc>
        <w:tc>
          <w:tcPr>
            <w:tcW w:w="370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①负责牵头城市营建、公共服务、城市基础设施等项目调研、论证、策划和包装工作，做好相关项目审核；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②负责城市营建项目的可行性论证、方案设计及方案审查工作，对城建类项目的形态、风貌、品质进行审核把关；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③参与城市建设方面的重点规划、重点项目方案研究，参与重大城市建设、产业发展项目的方案制定，积极争取政策，支持推动政策在项目建设中落地落实；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④完成领导交办的其他工作。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大学本科及以上学历并取得学士及以上学位，且本科阶段就读学校为985、211或“双一流”建设范围高校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本科：建筑类、人文地理与城乡规划、城市管理；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研究生：建筑学、城乡规划学、城市规划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①40周岁以下；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②取得副高级以上职称；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③熟悉项目开发及现场施工过程管理，具有3年以上工程规划、设计、施工管理工作经历。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3年（含试用期3个月）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年平均薪酬最高30万元，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最终薪酬标准由聘任机关与拟聘人员协商确定。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联系人及方式：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黄老师，0816-8823687，1183737767@qq.com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Y2ZhZjc5ZWQ1ZDEyZmQwMTIwMmU3MGRhZTZkOWUifQ=="/>
  </w:docVars>
  <w:rsids>
    <w:rsidRoot w:val="1DDF0713"/>
    <w:rsid w:val="1DDF0713"/>
    <w:rsid w:val="59AF25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4492</Words>
  <Characters>4857</Characters>
  <Lines>0</Lines>
  <Paragraphs>0</Paragraphs>
  <TotalTime>0</TotalTime>
  <ScaleCrop>false</ScaleCrop>
  <LinksUpToDate>false</LinksUpToDate>
  <CharactersWithSpaces>4858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2023-04-20T12:18:00Z</dcterms:created>
  <dc:creator>小调江湖</dc:creator>
  <cp:lastModifiedBy>小调江湖</cp:lastModifiedBy>
  <dcterms:modified xsi:type="dcterms:W3CDTF">2023-04-20T12:33:25Z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88E810EBE63D4EF9B4395A24D110AFF5_11</vt:lpwstr>
  </property>
</Properties>
</file>